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B410" w14:textId="4EEEE4EC" w:rsidR="00E60B9A" w:rsidRDefault="14B25671" w:rsidP="6AEEAF66">
      <w:r>
        <w:rPr>
          <w:noProof/>
        </w:rPr>
        <w:drawing>
          <wp:inline distT="0" distB="0" distL="0" distR="0" wp14:anchorId="1D0F82DA" wp14:editId="29A3D8E4">
            <wp:extent cx="1676400" cy="809625"/>
            <wp:effectExtent l="0" t="0" r="0" b="0"/>
            <wp:docPr id="827024058" name="Image 82702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E9DA" w14:textId="77777777" w:rsidR="00325F4B" w:rsidRDefault="00325F4B" w:rsidP="00E60B9A">
      <w:pPr>
        <w:pStyle w:val="Titre2"/>
        <w:jc w:val="center"/>
        <w:rPr>
          <w:rFonts w:ascii="Arial" w:hAnsi="Arial"/>
          <w:b/>
          <w:caps/>
          <w:color w:val="99CC00"/>
          <w:sz w:val="32"/>
          <w:bdr w:val="single" w:sz="4" w:space="0" w:color="auto"/>
        </w:rPr>
      </w:pPr>
      <w:r w:rsidRPr="00056C1D">
        <w:rPr>
          <w:rFonts w:ascii="Arial" w:hAnsi="Arial"/>
          <w:b/>
          <w:caps/>
          <w:color w:val="99CC00"/>
          <w:sz w:val="32"/>
          <w:bdr w:val="single" w:sz="4" w:space="0" w:color="auto"/>
        </w:rPr>
        <w:t>Contenu de la trousse d’accueil</w:t>
      </w:r>
      <w:r w:rsidR="00E60B9A">
        <w:rPr>
          <w:rFonts w:ascii="Arial" w:hAnsi="Arial"/>
          <w:b/>
          <w:caps/>
          <w:color w:val="99CC00"/>
          <w:sz w:val="32"/>
          <w:bdr w:val="single" w:sz="4" w:space="0" w:color="auto"/>
        </w:rPr>
        <w:br/>
      </w:r>
    </w:p>
    <w:p w14:paraId="672A6659" w14:textId="77777777" w:rsidR="00325F4B" w:rsidRPr="00056C1D" w:rsidRDefault="00325F4B" w:rsidP="00325F4B">
      <w:pPr>
        <w:rPr>
          <w:lang w:val="fr-FR" w:eastAsia="fr-FR"/>
        </w:rPr>
      </w:pPr>
    </w:p>
    <w:p w14:paraId="0A37501D" w14:textId="77777777" w:rsidR="00325F4B" w:rsidRPr="00AC3D23" w:rsidRDefault="00325F4B" w:rsidP="00325F4B">
      <w:pPr>
        <w:rPr>
          <w:lang w:eastAsia="fr-FR"/>
        </w:rPr>
      </w:pPr>
    </w:p>
    <w:p w14:paraId="2C45D731" w14:textId="77777777" w:rsidR="00325F4B" w:rsidRPr="00056C1D" w:rsidRDefault="00325F4B" w:rsidP="00325F4B">
      <w:pPr>
        <w:spacing w:after="200" w:line="276" w:lineRule="auto"/>
        <w:rPr>
          <w:rFonts w:ascii="Arial" w:eastAsia="Calibri" w:hAnsi="Arial" w:cs="Arial"/>
          <w:color w:val="0F243E"/>
          <w:sz w:val="24"/>
          <w:szCs w:val="24"/>
          <w:lang w:eastAsia="en-US"/>
        </w:rPr>
      </w:pPr>
      <w:r>
        <w:rPr>
          <w:rFonts w:ascii="Arial" w:hAnsi="Arial" w:cs="Arial"/>
          <w:b/>
          <w:color w:val="0F243E"/>
          <w:sz w:val="24"/>
          <w:szCs w:val="24"/>
        </w:rPr>
        <w:t>Suggestions d</w:t>
      </w:r>
      <w:r w:rsidRPr="00056C1D">
        <w:rPr>
          <w:rFonts w:ascii="Arial" w:hAnsi="Arial" w:cs="Arial"/>
          <w:b/>
          <w:color w:val="0F243E"/>
          <w:sz w:val="24"/>
          <w:szCs w:val="24"/>
        </w:rPr>
        <w:t>e</w:t>
      </w:r>
      <w:r>
        <w:rPr>
          <w:rFonts w:ascii="Arial" w:hAnsi="Arial" w:cs="Arial"/>
          <w:b/>
          <w:color w:val="0F243E"/>
          <w:sz w:val="24"/>
          <w:szCs w:val="24"/>
        </w:rPr>
        <w:t xml:space="preserve"> ce que pour</w:t>
      </w:r>
      <w:r w:rsidRPr="00056C1D">
        <w:rPr>
          <w:rFonts w:ascii="Arial" w:hAnsi="Arial" w:cs="Arial"/>
          <w:b/>
          <w:color w:val="0F243E"/>
          <w:sz w:val="24"/>
          <w:szCs w:val="24"/>
        </w:rPr>
        <w:t>rait contenir une trousse d’accueil </w:t>
      </w:r>
      <w:r>
        <w:rPr>
          <w:rFonts w:ascii="Arial" w:hAnsi="Arial" w:cs="Arial"/>
          <w:b/>
          <w:color w:val="0F243E"/>
          <w:sz w:val="24"/>
          <w:szCs w:val="24"/>
        </w:rPr>
        <w:t>offerte</w:t>
      </w:r>
      <w:r>
        <w:rPr>
          <w:rFonts w:ascii="Arial" w:eastAsia="Calibri" w:hAnsi="Arial" w:cs="Arial"/>
          <w:color w:val="0F243E"/>
          <w:sz w:val="24"/>
          <w:szCs w:val="24"/>
          <w:lang w:eastAsia="en-US"/>
        </w:rPr>
        <w:t xml:space="preserve"> aux</w:t>
      </w:r>
      <w:r w:rsidRPr="00056C1D">
        <w:rPr>
          <w:rFonts w:ascii="Arial" w:eastAsia="Calibri" w:hAnsi="Arial" w:cs="Arial"/>
          <w:color w:val="0F243E"/>
          <w:sz w:val="24"/>
          <w:szCs w:val="24"/>
          <w:lang w:eastAsia="en-US"/>
        </w:rPr>
        <w:t xml:space="preserve"> enseignants en insertion professionnelle</w:t>
      </w:r>
      <w:r w:rsidRPr="00056C1D">
        <w:rPr>
          <w:rFonts w:ascii="Arial" w:hAnsi="Arial" w:cs="Arial"/>
          <w:b/>
          <w:sz w:val="24"/>
          <w:szCs w:val="24"/>
        </w:rPr>
        <w:t>:</w:t>
      </w:r>
    </w:p>
    <w:p w14:paraId="5DAB6C7B" w14:textId="77777777" w:rsidR="00325F4B" w:rsidRPr="00056C1D" w:rsidRDefault="00325F4B" w:rsidP="00325F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C6CC64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Mot de bienvenue. </w:t>
      </w:r>
    </w:p>
    <w:p w14:paraId="1B9302F3" w14:textId="77777777" w:rsidR="00325F4B" w:rsidRPr="00056C1D" w:rsidRDefault="00325F4B" w:rsidP="00325F4B">
      <w:pPr>
        <w:widowControl w:val="0"/>
        <w:tabs>
          <w:tab w:val="left" w:pos="0"/>
          <w:tab w:val="left" w:pos="142"/>
          <w:tab w:val="left" w:pos="220"/>
          <w:tab w:val="left" w:pos="709"/>
        </w:tabs>
        <w:autoSpaceDE w:val="0"/>
        <w:autoSpaceDN w:val="0"/>
        <w:adjustRightInd w:val="0"/>
        <w:ind w:left="502"/>
        <w:contextualSpacing/>
        <w:rPr>
          <w:rFonts w:ascii="Arial" w:hAnsi="Arial" w:cs="Arial"/>
          <w:strike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Un texte chaleureux et accueillant du directeur général ou des ressources humaines adressé au nouveau personnel.</w:t>
      </w:r>
      <w:r w:rsidRPr="00056C1D">
        <w:rPr>
          <w:rFonts w:ascii="Arial" w:hAnsi="Arial" w:cs="Arial"/>
          <w:strike/>
          <w:sz w:val="24"/>
          <w:szCs w:val="24"/>
          <w:lang w:val="fr-FR"/>
        </w:rPr>
        <w:t xml:space="preserve"> </w:t>
      </w:r>
    </w:p>
    <w:p w14:paraId="02EB378F" w14:textId="77777777" w:rsidR="00325F4B" w:rsidRPr="00056C1D" w:rsidRDefault="00325F4B" w:rsidP="00325F4B">
      <w:pPr>
        <w:widowControl w:val="0"/>
        <w:tabs>
          <w:tab w:val="left" w:pos="0"/>
          <w:tab w:val="left" w:pos="142"/>
          <w:tab w:val="left" w:pos="220"/>
          <w:tab w:val="left" w:pos="709"/>
        </w:tabs>
        <w:autoSpaceDE w:val="0"/>
        <w:autoSpaceDN w:val="0"/>
        <w:adjustRightInd w:val="0"/>
        <w:ind w:left="502"/>
        <w:contextualSpacing/>
        <w:rPr>
          <w:rFonts w:ascii="Arial" w:hAnsi="Arial" w:cs="Arial"/>
          <w:sz w:val="24"/>
          <w:szCs w:val="24"/>
          <w:lang w:val="fr-FR"/>
        </w:rPr>
      </w:pPr>
    </w:p>
    <w:p w14:paraId="2282EAB1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Carte </w:t>
      </w:r>
      <w:r>
        <w:rPr>
          <w:rFonts w:ascii="Arial" w:hAnsi="Arial" w:cs="Arial"/>
          <w:sz w:val="24"/>
          <w:szCs w:val="24"/>
          <w:lang w:val="fr-FR"/>
        </w:rPr>
        <w:t xml:space="preserve">et coordonnées </w:t>
      </w:r>
      <w:r w:rsidRPr="00056C1D">
        <w:rPr>
          <w:rFonts w:ascii="Arial" w:hAnsi="Arial" w:cs="Arial"/>
          <w:sz w:val="24"/>
          <w:szCs w:val="24"/>
          <w:lang w:val="fr-FR"/>
        </w:rPr>
        <w:t xml:space="preserve">des écoles, des centres de formation et du siège social de la commission scolaire. </w:t>
      </w:r>
    </w:p>
    <w:p w14:paraId="6A05A809" w14:textId="77777777" w:rsidR="00325F4B" w:rsidRPr="00056C1D" w:rsidRDefault="00325F4B" w:rsidP="00325F4B">
      <w:pPr>
        <w:widowControl w:val="0"/>
        <w:tabs>
          <w:tab w:val="left" w:pos="0"/>
          <w:tab w:val="left" w:pos="142"/>
          <w:tab w:val="left" w:pos="220"/>
          <w:tab w:val="left" w:pos="709"/>
        </w:tabs>
        <w:autoSpaceDE w:val="0"/>
        <w:autoSpaceDN w:val="0"/>
        <w:adjustRightInd w:val="0"/>
        <w:ind w:left="502"/>
        <w:contextualSpacing/>
        <w:rPr>
          <w:rFonts w:ascii="Arial" w:hAnsi="Arial" w:cs="Arial"/>
          <w:sz w:val="24"/>
          <w:szCs w:val="24"/>
          <w:lang w:val="fr-FR"/>
        </w:rPr>
      </w:pPr>
    </w:p>
    <w:p w14:paraId="4189C7B0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Calendrier scolaire pour l’année en cours. </w:t>
      </w:r>
    </w:p>
    <w:p w14:paraId="5A39BBE3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7F14B13F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Organigramme complet (avec noms et numéros de poste) des personnes à contacter afin d'avoir de l'information (par exemple, un enseignant ayant un problème avec sa paie peut s'y référer et joindre la bonne personne).</w:t>
      </w:r>
    </w:p>
    <w:p w14:paraId="29D6B04F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DC862DA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Descriptif de votre P</w:t>
      </w:r>
      <w:r w:rsidRPr="00056C1D">
        <w:rPr>
          <w:rFonts w:ascii="Arial" w:hAnsi="Arial" w:cs="Arial"/>
          <w:sz w:val="24"/>
          <w:szCs w:val="24"/>
          <w:lang w:val="fr-FR"/>
        </w:rPr>
        <w:t>rogramme d'insertion professionnelle ou des services offerts au nouveau personnel enseignant, incluant la liste des formations auxquelles ils peuvent s'inscrire.</w:t>
      </w:r>
    </w:p>
    <w:p w14:paraId="41C8F396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0A403712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Référentiel indiquant comment créer un compte permettant d’accéder à l'Intranet et au courrier électronique, incluant une list</w:t>
      </w:r>
      <w:r>
        <w:rPr>
          <w:rFonts w:ascii="Arial" w:hAnsi="Arial" w:cs="Arial"/>
          <w:sz w:val="24"/>
          <w:szCs w:val="24"/>
          <w:lang w:val="fr-FR"/>
        </w:rPr>
        <w:t>e des ressources disponibles à partir de l’i</w:t>
      </w:r>
      <w:r w:rsidRPr="00056C1D">
        <w:rPr>
          <w:rFonts w:ascii="Arial" w:hAnsi="Arial" w:cs="Arial"/>
          <w:sz w:val="24"/>
          <w:szCs w:val="24"/>
          <w:lang w:val="fr-FR"/>
        </w:rPr>
        <w:t xml:space="preserve">ntranet. </w:t>
      </w:r>
    </w:p>
    <w:p w14:paraId="72A3D3EC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4ED25462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Résumé du plan de perfectionnement indiquant les possibilités d’inscription et les modalités de remboursement d'un colloque, d'une formation ou de frais de scolarité.</w:t>
      </w:r>
    </w:p>
    <w:p w14:paraId="0D0B940D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27ED66A4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Liste des associations disciplinaires, des colloques, congrès ou activités professionnelles.</w:t>
      </w:r>
    </w:p>
    <w:p w14:paraId="0E27B00A" w14:textId="77777777" w:rsidR="00325F4B" w:rsidRPr="00056C1D" w:rsidRDefault="00325F4B" w:rsidP="00590046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161325C5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Liste des conseillers pédagogiques ainsi que leurs disciplines et leur numéro de postes. Il serait également souhaitable d'indiquer les rôles tenus </w:t>
      </w:r>
      <w:r w:rsidRPr="00056C1D">
        <w:rPr>
          <w:rFonts w:ascii="Arial" w:hAnsi="Arial" w:cs="Arial"/>
          <w:sz w:val="24"/>
          <w:szCs w:val="24"/>
          <w:lang w:val="fr-FR"/>
        </w:rPr>
        <w:lastRenderedPageBreak/>
        <w:t>par les conseillers pédagogiques auprès des enseignants, puisque ceux-ci ne sont pas nécessairement connus des enseignants débutants.</w:t>
      </w:r>
    </w:p>
    <w:p w14:paraId="60061E4C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fr-FR"/>
        </w:rPr>
      </w:pPr>
    </w:p>
    <w:p w14:paraId="5368429E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Aide-mémoire des dates importantes et des actions à faire. Cette ligne du temps peut sécuriser et avoir un effet positif sur la planification générale.</w:t>
      </w:r>
    </w:p>
    <w:p w14:paraId="44EAFD9C" w14:textId="77777777" w:rsidR="00325F4B" w:rsidRPr="00056C1D" w:rsidRDefault="00325F4B" w:rsidP="00590046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ind w:left="505"/>
        <w:contextualSpacing/>
        <w:rPr>
          <w:rFonts w:ascii="Arial" w:hAnsi="Arial" w:cs="Arial"/>
          <w:sz w:val="24"/>
          <w:szCs w:val="24"/>
          <w:lang w:val="fr-FR"/>
        </w:rPr>
      </w:pPr>
    </w:p>
    <w:p w14:paraId="77CFAB17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Fiche explicative de la tâche d'enseignement et de la paie. Un hyperlien sur ces points de la convention ou sur le service des ressources humaines sera efficace.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056C1D">
        <w:rPr>
          <w:rFonts w:ascii="Arial" w:hAnsi="Arial" w:cs="Arial"/>
          <w:sz w:val="24"/>
          <w:szCs w:val="24"/>
          <w:lang w:val="fr-FR"/>
        </w:rPr>
        <w:t>Ce sont des questions très souvent posées.</w:t>
      </w:r>
    </w:p>
    <w:p w14:paraId="4B94D5A5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09A49DCA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Feuillet explicatif sur le processus d'évaluation et les modalités d'accession aux listes prioritaires.</w:t>
      </w:r>
    </w:p>
    <w:p w14:paraId="3DEEC669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2F9A8B20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Coordonnées du syndicat et services offerts.</w:t>
      </w:r>
    </w:p>
    <w:p w14:paraId="3656B9AB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1100BAD5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 xml:space="preserve">Feuillet informatif sur les services offerts par le Centre de ressources pédagogiques. </w:t>
      </w:r>
    </w:p>
    <w:p w14:paraId="45FB0818" w14:textId="77777777" w:rsidR="00325F4B" w:rsidRPr="00056C1D" w:rsidRDefault="00325F4B" w:rsidP="00325F4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FR"/>
        </w:rPr>
      </w:pPr>
    </w:p>
    <w:p w14:paraId="0371A1E7" w14:textId="748C5A78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159F3416">
        <w:rPr>
          <w:rFonts w:ascii="Arial" w:hAnsi="Arial" w:cs="Arial"/>
          <w:sz w:val="24"/>
          <w:szCs w:val="24"/>
          <w:lang w:val="fr-FR"/>
        </w:rPr>
        <w:t xml:space="preserve">Feuillet du CNIPE. Les enseignants qui reçoivent leur brevet d’enseignement du MEQ, l’auront déjà reçu. </w:t>
      </w:r>
    </w:p>
    <w:p w14:paraId="049F31CB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6F7A0BE5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Informations sur le programme d'aide au personnel (PAP). Il sera important d’identifier ceux qui peuvent s’en prévaloir</w:t>
      </w:r>
    </w:p>
    <w:p w14:paraId="53128261" w14:textId="77777777" w:rsidR="00325F4B" w:rsidRPr="00056C1D" w:rsidRDefault="00325F4B" w:rsidP="00325F4B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</w:p>
    <w:p w14:paraId="73936C09" w14:textId="77777777" w:rsidR="00325F4B" w:rsidRPr="00056C1D" w:rsidRDefault="00325F4B" w:rsidP="00325F4B">
      <w:pPr>
        <w:widowControl w:val="0"/>
        <w:numPr>
          <w:ilvl w:val="0"/>
          <w:numId w:val="1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Liste des abréviations utilisées à la commission scolaire.</w:t>
      </w:r>
    </w:p>
    <w:p w14:paraId="62486C05" w14:textId="77777777" w:rsidR="00325F4B" w:rsidRPr="00056C1D" w:rsidRDefault="00325F4B" w:rsidP="00325F4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FR"/>
        </w:rPr>
      </w:pPr>
    </w:p>
    <w:p w14:paraId="172A0622" w14:textId="77777777" w:rsidR="00325F4B" w:rsidRDefault="00325F4B" w:rsidP="00325F4B">
      <w:pPr>
        <w:widowControl w:val="0"/>
        <w:numPr>
          <w:ilvl w:val="0"/>
          <w:numId w:val="1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056C1D">
        <w:rPr>
          <w:rFonts w:ascii="Arial" w:hAnsi="Arial" w:cs="Arial"/>
          <w:sz w:val="24"/>
          <w:szCs w:val="24"/>
          <w:lang w:val="fr-FR"/>
        </w:rPr>
        <w:t>…</w:t>
      </w:r>
    </w:p>
    <w:p w14:paraId="4DDBEF00" w14:textId="77777777" w:rsidR="00325F4B" w:rsidRDefault="00325F4B" w:rsidP="00F407A5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3461D779" w14:textId="77777777" w:rsidR="00325F4B" w:rsidRDefault="00325F4B" w:rsidP="00325F4B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 w:hanging="578"/>
        <w:rPr>
          <w:rFonts w:ascii="Arial" w:hAnsi="Arial" w:cs="Arial"/>
          <w:sz w:val="24"/>
          <w:szCs w:val="24"/>
          <w:lang w:val="fr-FR"/>
        </w:rPr>
      </w:pPr>
    </w:p>
    <w:p w14:paraId="3CF2D8B6" w14:textId="77777777" w:rsidR="00325F4B" w:rsidRDefault="00325F4B" w:rsidP="00325F4B">
      <w:pPr>
        <w:jc w:val="both"/>
        <w:rPr>
          <w:rFonts w:ascii="Arial" w:hAnsi="Arial" w:cs="Arial"/>
          <w:sz w:val="24"/>
          <w:szCs w:val="24"/>
        </w:rPr>
      </w:pPr>
    </w:p>
    <w:p w14:paraId="70FC9CC5" w14:textId="3ED34EFF" w:rsidR="00325F4B" w:rsidRPr="00056C1D" w:rsidRDefault="00325F4B" w:rsidP="6AEEAF66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6AEEAF66">
        <w:rPr>
          <w:rFonts w:ascii="Arial" w:hAnsi="Arial" w:cs="Arial"/>
          <w:i/>
          <w:iCs/>
          <w:sz w:val="22"/>
          <w:szCs w:val="22"/>
        </w:rPr>
        <w:t xml:space="preserve">Il va de soi, que lorsque votre Programme et votre Trousse d’accueil seront révisés, nous aimerions en recevoir une copie pour les déposer sur le site du CNIPE </w:t>
      </w:r>
    </w:p>
    <w:p w14:paraId="0FB78278" w14:textId="77777777" w:rsidR="00E60B9A" w:rsidRDefault="00E60B9A" w:rsidP="00325F4B">
      <w:pPr>
        <w:jc w:val="both"/>
        <w:rPr>
          <w:rFonts w:ascii="Arial" w:hAnsi="Arial" w:cs="Arial"/>
          <w:i/>
          <w:sz w:val="22"/>
          <w:szCs w:val="22"/>
        </w:rPr>
      </w:pPr>
    </w:p>
    <w:p w14:paraId="1FC39945" w14:textId="77777777" w:rsidR="00E60B9A" w:rsidRDefault="00E60B9A" w:rsidP="00325F4B">
      <w:pPr>
        <w:jc w:val="both"/>
        <w:rPr>
          <w:rFonts w:ascii="Arial" w:hAnsi="Arial" w:cs="Arial"/>
          <w:i/>
          <w:sz w:val="22"/>
          <w:szCs w:val="22"/>
        </w:rPr>
      </w:pPr>
    </w:p>
    <w:p w14:paraId="483BB877" w14:textId="77777777" w:rsidR="00325F4B" w:rsidRDefault="00325F4B" w:rsidP="00325F4B">
      <w:pPr>
        <w:jc w:val="both"/>
        <w:rPr>
          <w:rFonts w:ascii="Arial" w:hAnsi="Arial" w:cs="Arial"/>
          <w:i/>
          <w:sz w:val="22"/>
          <w:szCs w:val="22"/>
        </w:rPr>
      </w:pPr>
      <w:r w:rsidRPr="00056C1D">
        <w:rPr>
          <w:rFonts w:ascii="Arial" w:hAnsi="Arial" w:cs="Arial"/>
          <w:i/>
          <w:sz w:val="22"/>
          <w:szCs w:val="22"/>
        </w:rPr>
        <w:t xml:space="preserve">Merci à l’avance pour ce partage! </w:t>
      </w:r>
    </w:p>
    <w:p w14:paraId="0562CB0E" w14:textId="77777777" w:rsidR="00E60B9A" w:rsidRDefault="00E60B9A" w:rsidP="00325F4B">
      <w:pPr>
        <w:jc w:val="both"/>
        <w:rPr>
          <w:rFonts w:ascii="Arial" w:hAnsi="Arial" w:cs="Arial"/>
          <w:i/>
          <w:sz w:val="22"/>
          <w:szCs w:val="22"/>
        </w:rPr>
      </w:pPr>
    </w:p>
    <w:p w14:paraId="34CE0A41" w14:textId="77777777" w:rsidR="00E60B9A" w:rsidRDefault="00E60B9A" w:rsidP="00325F4B">
      <w:pPr>
        <w:jc w:val="both"/>
        <w:rPr>
          <w:rFonts w:ascii="Arial" w:hAnsi="Arial" w:cs="Arial"/>
          <w:i/>
          <w:sz w:val="22"/>
          <w:szCs w:val="22"/>
        </w:rPr>
      </w:pPr>
    </w:p>
    <w:p w14:paraId="62EBF3C5" w14:textId="77777777" w:rsidR="00E60B9A" w:rsidRDefault="00E60B9A" w:rsidP="00325F4B">
      <w:pPr>
        <w:jc w:val="both"/>
        <w:rPr>
          <w:rFonts w:ascii="Arial" w:hAnsi="Arial" w:cs="Arial"/>
          <w:i/>
          <w:sz w:val="22"/>
          <w:szCs w:val="22"/>
        </w:rPr>
      </w:pPr>
    </w:p>
    <w:p w14:paraId="1F99CDB0" w14:textId="77777777" w:rsidR="00325F4B" w:rsidRPr="00217538" w:rsidRDefault="00325F4B" w:rsidP="00325F4B">
      <w:pPr>
        <w:jc w:val="both"/>
        <w:rPr>
          <w:rFonts w:ascii="Arial" w:hAnsi="Arial" w:cs="Arial"/>
          <w:color w:val="99CC00"/>
          <w:sz w:val="22"/>
          <w:szCs w:val="22"/>
        </w:rPr>
      </w:pPr>
      <w:r w:rsidRPr="00217538">
        <w:rPr>
          <w:rFonts w:ascii="Arial" w:hAnsi="Arial" w:cs="Arial"/>
          <w:color w:val="99CC00"/>
          <w:sz w:val="22"/>
          <w:szCs w:val="22"/>
        </w:rPr>
        <w:t>L’équipe de la permanence du CNIPE</w:t>
      </w:r>
    </w:p>
    <w:p w14:paraId="6D98A12B" w14:textId="77777777" w:rsidR="00FB0ADF" w:rsidRDefault="00FB0ADF"/>
    <w:sectPr w:rsidR="00FB0A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25pt;height:161pt" o:bullet="t">
        <v:imagedata r:id="rId1" o:title="pictoEQUIPE"/>
      </v:shape>
    </w:pict>
  </w:numPicBullet>
  <w:numPicBullet w:numPicBulletId="1">
    <w:pict>
      <v:shape id="_x0000_i1027" type="#_x0000_t75" style="width:8.9pt;height:8.9pt" o:bullet="t">
        <v:imagedata r:id="rId2" o:title="BD14831_"/>
      </v:shape>
    </w:pict>
  </w:numPicBullet>
  <w:abstractNum w:abstractNumId="0" w15:restartNumberingAfterBreak="0">
    <w:nsid w:val="1B1B20AF"/>
    <w:multiLevelType w:val="hybridMultilevel"/>
    <w:tmpl w:val="333E368C"/>
    <w:lvl w:ilvl="0" w:tplc="FF9830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944"/>
    <w:multiLevelType w:val="hybridMultilevel"/>
    <w:tmpl w:val="68DC5FEA"/>
    <w:lvl w:ilvl="0" w:tplc="5B86B03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59295508">
    <w:abstractNumId w:val="1"/>
  </w:num>
  <w:num w:numId="2" w16cid:durableId="9024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4B"/>
    <w:rsid w:val="00080806"/>
    <w:rsid w:val="00325F4B"/>
    <w:rsid w:val="00590046"/>
    <w:rsid w:val="00667013"/>
    <w:rsid w:val="006A3000"/>
    <w:rsid w:val="00AC3D23"/>
    <w:rsid w:val="00C03DDD"/>
    <w:rsid w:val="00CE2113"/>
    <w:rsid w:val="00E60B9A"/>
    <w:rsid w:val="00F407A5"/>
    <w:rsid w:val="00FB0ADF"/>
    <w:rsid w:val="14B25671"/>
    <w:rsid w:val="159F3416"/>
    <w:rsid w:val="487C45FB"/>
    <w:rsid w:val="6AEEA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B04BD4"/>
  <w15:docId w15:val="{D095F719-7088-4676-8700-2021C7A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qFormat/>
    <w:rsid w:val="00325F4B"/>
    <w:pPr>
      <w:keepNext/>
      <w:outlineLvl w:val="1"/>
    </w:pPr>
    <w:rPr>
      <w:rFonts w:ascii="Garamond" w:hAnsi="Garamond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25F4B"/>
    <w:rPr>
      <w:rFonts w:ascii="Garamond" w:eastAsia="Times New Roman" w:hAnsi="Garamond" w:cs="Times New Roman"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325F4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3D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D23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510af-767f-4dad-bca3-208ebf5e2e20" xsi:nil="true"/>
    <lcf76f155ced4ddcb4097134ff3c332f xmlns="733d7b82-f9d2-4c2b-8562-ad9fc8055677">
      <Terms xmlns="http://schemas.microsoft.com/office/infopath/2007/PartnerControls"/>
    </lcf76f155ced4ddcb4097134ff3c332f>
    <SharedWithUsers xmlns="804510af-767f-4dad-bca3-208ebf5e2e20">
      <UserInfo>
        <DisplayName>Geneviève Gaucher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4E43B6A2ED41967D4E6393BEB661" ma:contentTypeVersion="15" ma:contentTypeDescription="Crée un document." ma:contentTypeScope="" ma:versionID="70ba64c253e346ed0672fe3490a7096b">
  <xsd:schema xmlns:xsd="http://www.w3.org/2001/XMLSchema" xmlns:xs="http://www.w3.org/2001/XMLSchema" xmlns:p="http://schemas.microsoft.com/office/2006/metadata/properties" xmlns:ns2="733d7b82-f9d2-4c2b-8562-ad9fc8055677" xmlns:ns3="804510af-767f-4dad-bca3-208ebf5e2e20" targetNamespace="http://schemas.microsoft.com/office/2006/metadata/properties" ma:root="true" ma:fieldsID="78e98fcae6f025ccc8ca2064fb19d8dc" ns2:_="" ns3:_="">
    <xsd:import namespace="733d7b82-f9d2-4c2b-8562-ad9fc8055677"/>
    <xsd:import namespace="804510af-767f-4dad-bca3-208ebf5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b82-f9d2-4c2b-8562-ad9fc805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eb66732-8058-4b56-aa5f-a99ed9a6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10af-767f-4dad-bca3-208ebf5e2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8cacdf-d2e5-4a48-ab1a-c55751109e95}" ma:internalName="TaxCatchAll" ma:showField="CatchAllData" ma:web="804510af-767f-4dad-bca3-208ebf5e2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C639E-E4C9-4AFE-BD00-871E0F890B2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33d7b82-f9d2-4c2b-8562-ad9fc8055677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804510af-767f-4dad-bca3-208ebf5e2e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6570D-DB86-41D8-883E-804F2FFC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70607-ADDD-4846-A5C7-1A455A84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7b82-f9d2-4c2b-8562-ad9fc8055677"/>
    <ds:schemaRef ds:uri="804510af-767f-4dad-bca3-208ebf5e2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2281</Characters>
  <Application>Microsoft Office Word</Application>
  <DocSecurity>0</DocSecurity>
  <Lines>19</Lines>
  <Paragraphs>5</Paragraphs>
  <ScaleCrop>false</ScaleCrop>
  <Company>C.S. de Laval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Geneviève Gaucher</cp:lastModifiedBy>
  <cp:revision>3</cp:revision>
  <cp:lastPrinted>2018-10-17T13:48:00Z</cp:lastPrinted>
  <dcterms:created xsi:type="dcterms:W3CDTF">2023-03-24T18:18:00Z</dcterms:created>
  <dcterms:modified xsi:type="dcterms:W3CDTF">2023-03-24T18:18:00Z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0x01010006254E43B6A2ED41967D4E6393BEB661</vt:lpwstr>
  </property>
  <property fmtid="{D5CDD505-2E9C-101B-9397-08002B2CF9AE}" pid="3" name="MediaServiceImageTags">
    <vt:lpwstr/>
  </property>
</Properties>
</file>