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C81824" w:rsidP="57EC8EDA" w:rsidRDefault="00C81824" w14:paraId="7C636CA3" wp14:textId="7F0D797D">
      <w:pPr>
        <w:pStyle w:val="Normal"/>
        <w:spacing w:after="0" w:line="240" w:lineRule="auto"/>
        <w:jc w:val="center"/>
      </w:pPr>
      <w:r w:rsidR="78EE95CF">
        <w:drawing>
          <wp:inline xmlns:wp14="http://schemas.microsoft.com/office/word/2010/wordprocessingDrawing" wp14:editId="40814DEE" wp14:anchorId="39915E7F">
            <wp:extent cx="1238250" cy="533400"/>
            <wp:effectExtent l="0" t="0" r="0" b="0"/>
            <wp:docPr id="21372985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17eeef55f8474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8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824">
        <w:rPr/>
        <w:t xml:space="preserve">Mise en place </w:t>
      </w:r>
      <w:r w:rsidR="00C81824">
        <w:rPr/>
        <w:t>d’un programme</w:t>
      </w:r>
      <w:r w:rsidR="00C81824">
        <w:rPr/>
        <w:t xml:space="preserve"> d’insertion professionnelle</w:t>
      </w:r>
    </w:p>
    <w:p xmlns:wp14="http://schemas.microsoft.com/office/word/2010/wordml" w:rsidR="00C81824" w:rsidP="00E204A8" w:rsidRDefault="00C81824" w14:paraId="099FCA6C" wp14:textId="77777777">
      <w:pPr>
        <w:spacing w:after="0" w:line="240" w:lineRule="auto"/>
        <w:jc w:val="center"/>
      </w:pPr>
      <w:proofErr w:type="gramStart"/>
      <w:r>
        <w:t>pour</w:t>
      </w:r>
      <w:proofErr w:type="gramEnd"/>
      <w:r>
        <w:t xml:space="preserve"> les enseignants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81824" w:rsidTr="6E6EA0A6" w14:paraId="35E155FB" wp14:textId="77777777">
        <w:tc>
          <w:tcPr>
            <w:tcW w:w="4315" w:type="dxa"/>
            <w:tcMar/>
          </w:tcPr>
          <w:p w:rsidRPr="00C81824" w:rsidR="00C81824" w:rsidP="00C81824" w:rsidRDefault="00C81824" w14:paraId="74853A54" wp14:textId="77777777">
            <w:pPr>
              <w:rPr>
                <w:b/>
              </w:rPr>
            </w:pPr>
            <w:r w:rsidRPr="00C81824">
              <w:rPr>
                <w:b/>
              </w:rPr>
              <w:t>Formation d’un groupe de travail</w:t>
            </w:r>
          </w:p>
        </w:tc>
        <w:tc>
          <w:tcPr>
            <w:tcW w:w="4315" w:type="dxa"/>
            <w:tcMar/>
          </w:tcPr>
          <w:p w:rsidR="00C81824" w:rsidP="00C81824" w:rsidRDefault="00C81824" w14:paraId="1D02504C" wp14:textId="77777777">
            <w:r>
              <w:t>Quels sont les différents acteurs ayant un rôle à joue</w:t>
            </w:r>
            <w:r w:rsidR="00CE6C60">
              <w:t>r auprès des enseignants en débu</w:t>
            </w:r>
            <w:r>
              <w:t>t de carrière</w:t>
            </w:r>
            <w:r w:rsidR="00E204A8">
              <w:t>?</w:t>
            </w:r>
          </w:p>
          <w:p w:rsidR="00C81824" w:rsidP="00C81824" w:rsidRDefault="00C81824" w14:paraId="172A0622" wp14:textId="77777777">
            <w:r>
              <w:t>…</w:t>
            </w:r>
          </w:p>
        </w:tc>
      </w:tr>
      <w:tr xmlns:wp14="http://schemas.microsoft.com/office/word/2010/wordml" w:rsidR="00C81824" w:rsidTr="6E6EA0A6" w14:paraId="6DDFCDDB" wp14:textId="77777777">
        <w:tc>
          <w:tcPr>
            <w:tcW w:w="4315" w:type="dxa"/>
            <w:tcMar/>
          </w:tcPr>
          <w:p w:rsidRPr="00C81824" w:rsidR="00C81824" w:rsidP="00C81824" w:rsidRDefault="00C81824" w14:paraId="2ADD6B3E" wp14:textId="77777777">
            <w:pPr>
              <w:rPr>
                <w:b/>
              </w:rPr>
            </w:pPr>
            <w:r w:rsidRPr="00C81824">
              <w:rPr>
                <w:b/>
              </w:rPr>
              <w:t>Portrait de la situation</w:t>
            </w:r>
          </w:p>
        </w:tc>
        <w:tc>
          <w:tcPr>
            <w:tcW w:w="4315" w:type="dxa"/>
            <w:tcMar/>
          </w:tcPr>
          <w:p w:rsidR="00E204A8" w:rsidP="00C81824" w:rsidRDefault="00C81824" w14:paraId="57AB7FB6" wp14:textId="77777777">
            <w:r>
              <w:t xml:space="preserve">Combien </w:t>
            </w:r>
            <w:r w:rsidR="00CE6C60">
              <w:t xml:space="preserve">avons-nous </w:t>
            </w:r>
            <w:r>
              <w:t>d’enseignants</w:t>
            </w:r>
            <w:r w:rsidR="00E204A8">
              <w:t xml:space="preserve"> en insertion professionnelle?</w:t>
            </w:r>
          </w:p>
          <w:p w:rsidR="00E204A8" w:rsidP="00C81824" w:rsidRDefault="00E204A8" w14:paraId="216638D8" wp14:textId="77777777">
            <w:r>
              <w:t xml:space="preserve">Quelle est </w:t>
            </w:r>
            <w:r w:rsidR="00C81824">
              <w:t>leur formation, le</w:t>
            </w:r>
            <w:r>
              <w:t xml:space="preserve">ur expérience et </w:t>
            </w:r>
            <w:r w:rsidR="00C81824">
              <w:t>leur affectation</w:t>
            </w:r>
            <w:r>
              <w:t>?</w:t>
            </w:r>
          </w:p>
          <w:p w:rsidR="00C81824" w:rsidP="00C81824" w:rsidRDefault="00E204A8" w14:paraId="25E6912B" wp14:textId="77777777">
            <w:r>
              <w:t xml:space="preserve">Quels sont </w:t>
            </w:r>
            <w:r w:rsidR="00C81824">
              <w:t>leurs besoins?</w:t>
            </w:r>
          </w:p>
          <w:p w:rsidR="00C81824" w:rsidP="00C81824" w:rsidRDefault="00C81824" w14:paraId="3B15E242" wp14:textId="7399A522">
            <w:r w:rsidR="00C81824">
              <w:rPr/>
              <w:t xml:space="preserve">Quel est le portrait des écoles </w:t>
            </w:r>
            <w:r w:rsidR="3C86E3C8">
              <w:rPr/>
              <w:t>en termes</w:t>
            </w:r>
            <w:r w:rsidR="00C81824">
              <w:rPr/>
              <w:t xml:space="preserve"> d’enseignants de 5 ans et moins?</w:t>
            </w:r>
          </w:p>
          <w:p w:rsidR="00C81824" w:rsidP="00C81824" w:rsidRDefault="00C81824" w14:paraId="6F5E3014" wp14:textId="77777777">
            <w:r>
              <w:t>Quelles sont</w:t>
            </w:r>
            <w:r>
              <w:t xml:space="preserve"> les pratiques déjà existantes?</w:t>
            </w:r>
          </w:p>
          <w:p w:rsidR="00241E31" w:rsidP="00C81824" w:rsidRDefault="00241E31" w14:paraId="5EAE811F" wp14:textId="77777777">
            <w:r>
              <w:t>Quel sera la source de financement?</w:t>
            </w:r>
          </w:p>
          <w:p w:rsidR="00241E31" w:rsidP="00C81824" w:rsidRDefault="00241E31" w14:paraId="20F3D1B2" wp14:textId="77777777">
            <w:r>
              <w:t>Quelles sont les obligations légales?</w:t>
            </w:r>
          </w:p>
          <w:p w:rsidR="00C81824" w:rsidP="00C81824" w:rsidRDefault="00C81824" w14:paraId="33C86505" wp14:textId="77777777">
            <w:r>
              <w:t>…</w:t>
            </w:r>
          </w:p>
        </w:tc>
      </w:tr>
      <w:tr xmlns:wp14="http://schemas.microsoft.com/office/word/2010/wordml" w:rsidR="00C81824" w:rsidTr="6E6EA0A6" w14:paraId="77B96679" wp14:textId="77777777">
        <w:tc>
          <w:tcPr>
            <w:tcW w:w="4315" w:type="dxa"/>
            <w:tcMar/>
          </w:tcPr>
          <w:p w:rsidRPr="00C81824" w:rsidR="00C81824" w:rsidP="00C81824" w:rsidRDefault="00C81824" w14:paraId="51A64B0C" wp14:textId="77777777">
            <w:pPr>
              <w:rPr>
                <w:b/>
              </w:rPr>
            </w:pPr>
            <w:r w:rsidRPr="00C81824">
              <w:rPr>
                <w:b/>
              </w:rPr>
              <w:t>Choix des dispositifs</w:t>
            </w:r>
          </w:p>
        </w:tc>
        <w:tc>
          <w:tcPr>
            <w:tcW w:w="4315" w:type="dxa"/>
            <w:tcMar/>
          </w:tcPr>
          <w:p w:rsidR="00C81824" w:rsidP="00C81824" w:rsidRDefault="00C81824" w14:paraId="6BE2A326" wp14:textId="77777777">
            <w:r>
              <w:t>Quels dispositifs</w:t>
            </w:r>
            <w:r w:rsidR="00CE6C60">
              <w:t xml:space="preserve"> répondront</w:t>
            </w:r>
            <w:r>
              <w:t xml:space="preserve"> le</w:t>
            </w:r>
            <w:r w:rsidR="00CE6C60">
              <w:t xml:space="preserve"> mieux</w:t>
            </w:r>
            <w:r>
              <w:t xml:space="preserve"> aux besoins</w:t>
            </w:r>
            <w:r w:rsidR="00CE6C60">
              <w:t xml:space="preserve"> identifiés</w:t>
            </w:r>
            <w:r>
              <w:t>? (</w:t>
            </w:r>
            <w:r w:rsidR="00241E31">
              <w:t>Annexe</w:t>
            </w:r>
            <w:r>
              <w:t xml:space="preserve"> 1)</w:t>
            </w:r>
          </w:p>
          <w:p w:rsidR="00241E31" w:rsidP="00C81824" w:rsidRDefault="00241E31" w14:paraId="7804B17A" wp14:textId="77777777">
            <w:r>
              <w:t>Quel sera la source de financement?</w:t>
            </w:r>
          </w:p>
          <w:p w:rsidR="00241E31" w:rsidP="00241E31" w:rsidRDefault="00241E31" w14:paraId="38281A56" wp14:textId="77777777">
            <w:pPr>
              <w:spacing w:line="259" w:lineRule="auto"/>
            </w:pPr>
            <w:r>
              <w:t>Qui sera porteur de ce dossier?</w:t>
            </w:r>
          </w:p>
          <w:p w:rsidR="00241E31" w:rsidP="00241E31" w:rsidRDefault="00241E31" w14:paraId="48240C2E" wp14:textId="77777777">
            <w:pPr>
              <w:spacing w:line="259" w:lineRule="auto"/>
            </w:pPr>
            <w:r>
              <w:t>Comment la pérennité sera assurée?</w:t>
            </w:r>
          </w:p>
          <w:p w:rsidR="00241E31" w:rsidP="00C81824" w:rsidRDefault="00241E31" w14:paraId="088CFA42" wp14:textId="77777777">
            <w:r>
              <w:t>…</w:t>
            </w:r>
          </w:p>
        </w:tc>
      </w:tr>
      <w:tr xmlns:wp14="http://schemas.microsoft.com/office/word/2010/wordml" w:rsidR="00C81824" w:rsidTr="6E6EA0A6" w14:paraId="278F6A57" wp14:textId="77777777">
        <w:tc>
          <w:tcPr>
            <w:tcW w:w="4315" w:type="dxa"/>
            <w:tcMar/>
          </w:tcPr>
          <w:p w:rsidRPr="00C81824" w:rsidR="00C81824" w:rsidP="00C81824" w:rsidRDefault="00C81824" w14:paraId="731227AB" wp14:textId="77777777">
            <w:pPr>
              <w:rPr>
                <w:b/>
              </w:rPr>
            </w:pPr>
            <w:r w:rsidRPr="00C81824">
              <w:rPr>
                <w:b/>
              </w:rPr>
              <w:t>Définition des rôles</w:t>
            </w:r>
          </w:p>
        </w:tc>
        <w:tc>
          <w:tcPr>
            <w:tcW w:w="4315" w:type="dxa"/>
            <w:tcMar/>
          </w:tcPr>
          <w:p w:rsidR="00C81824" w:rsidP="00C81824" w:rsidRDefault="00C81824" w14:paraId="5E7952CC" wp14:textId="77777777">
            <w:r>
              <w:t>Quel sera le rôle et les obligations de chaque acteur?</w:t>
            </w:r>
          </w:p>
          <w:p w:rsidR="00C81824" w:rsidP="00C81824" w:rsidRDefault="00C81824" w14:paraId="1FD39B7E" wp14:textId="77777777">
            <w:r>
              <w:t>Comment seront-ils complémentaire</w:t>
            </w:r>
            <w:r w:rsidR="00241E31">
              <w:t>s</w:t>
            </w:r>
            <w:r>
              <w:t>?</w:t>
            </w:r>
          </w:p>
          <w:p w:rsidR="00241E31" w:rsidP="00C81824" w:rsidRDefault="00241E31" w14:paraId="3C400F6C" wp14:textId="77777777">
            <w:r>
              <w:t>…</w:t>
            </w:r>
          </w:p>
        </w:tc>
      </w:tr>
      <w:tr xmlns:wp14="http://schemas.microsoft.com/office/word/2010/wordml" w:rsidR="00C81824" w:rsidTr="6E6EA0A6" w14:paraId="4C60D2F7" wp14:textId="77777777">
        <w:tc>
          <w:tcPr>
            <w:tcW w:w="4315" w:type="dxa"/>
            <w:tcMar/>
          </w:tcPr>
          <w:p w:rsidRPr="00241E31" w:rsidR="00C81824" w:rsidP="00241E31" w:rsidRDefault="00241E31" w14:paraId="11F1EF28" wp14:textId="77777777">
            <w:pPr>
              <w:rPr>
                <w:b/>
              </w:rPr>
            </w:pPr>
            <w:r w:rsidRPr="00241E31">
              <w:rPr>
                <w:b/>
              </w:rPr>
              <w:t>Communication et formation de tous les acteurs</w:t>
            </w:r>
          </w:p>
        </w:tc>
        <w:tc>
          <w:tcPr>
            <w:tcW w:w="4315" w:type="dxa"/>
            <w:tcMar/>
          </w:tcPr>
          <w:p w:rsidR="00C81824" w:rsidP="00241E31" w:rsidRDefault="00241E31" w14:paraId="771D3E65" wp14:textId="77777777">
            <w:r>
              <w:t>De quelle façon tous les acteurs seront informés tout au long du processus et durant de l’année?</w:t>
            </w:r>
          </w:p>
          <w:p w:rsidR="00241E31" w:rsidP="00241E31" w:rsidRDefault="00241E31" w14:paraId="7D06DE13" wp14:textId="77777777">
            <w:r>
              <w:t xml:space="preserve">Comment les </w:t>
            </w:r>
            <w:r w:rsidR="00CE6C60">
              <w:t>acteurs</w:t>
            </w:r>
            <w:r>
              <w:t xml:space="preserve"> seront formés </w:t>
            </w:r>
            <w:r w:rsidR="00E204A8">
              <w:t xml:space="preserve">à l’accompagnement </w:t>
            </w:r>
            <w:r>
              <w:t>(offre de services du CNIPE)?</w:t>
            </w:r>
          </w:p>
          <w:p w:rsidR="00241E31" w:rsidP="00241E31" w:rsidRDefault="00241E31" w14:paraId="1EA01E5D" wp14:textId="77777777">
            <w:r>
              <w:t xml:space="preserve">Quelle </w:t>
            </w:r>
            <w:r w:rsidR="00E204A8">
              <w:t xml:space="preserve">sera la </w:t>
            </w:r>
            <w:r>
              <w:t>vision commune</w:t>
            </w:r>
            <w:r w:rsidR="00E204A8">
              <w:t xml:space="preserve"> à partager</w:t>
            </w:r>
            <w:r>
              <w:t>?</w:t>
            </w:r>
          </w:p>
          <w:p w:rsidR="00241E31" w:rsidP="00241E31" w:rsidRDefault="00241E31" w14:paraId="6BE2BB99" wp14:textId="77777777">
            <w:r>
              <w:t>…</w:t>
            </w:r>
          </w:p>
        </w:tc>
      </w:tr>
      <w:tr xmlns:wp14="http://schemas.microsoft.com/office/word/2010/wordml" w:rsidR="00C81824" w:rsidTr="6E6EA0A6" w14:paraId="7A4D08F9" wp14:textId="77777777">
        <w:tc>
          <w:tcPr>
            <w:tcW w:w="4315" w:type="dxa"/>
            <w:tcMar/>
          </w:tcPr>
          <w:p w:rsidRPr="00241E31" w:rsidR="00C81824" w:rsidP="00241E31" w:rsidRDefault="00241E31" w14:paraId="211B173F" wp14:textId="77777777">
            <w:pPr>
              <w:rPr>
                <w:b/>
              </w:rPr>
            </w:pPr>
            <w:r>
              <w:rPr>
                <w:b/>
              </w:rPr>
              <w:t>Régulation</w:t>
            </w:r>
          </w:p>
        </w:tc>
        <w:tc>
          <w:tcPr>
            <w:tcW w:w="4315" w:type="dxa"/>
            <w:tcMar/>
          </w:tcPr>
          <w:p w:rsidR="00C81824" w:rsidP="00241E31" w:rsidRDefault="00241E31" w14:paraId="6C16C247" wp14:textId="77777777">
            <w:r>
              <w:t>Quels sont les irritants, les incohérences et les bons coups?</w:t>
            </w:r>
          </w:p>
          <w:p w:rsidR="00241E31" w:rsidP="00241E31" w:rsidRDefault="00241E31" w14:paraId="7E6FD929" wp14:textId="77777777">
            <w:r>
              <w:t>Quels ajustements seront faits?</w:t>
            </w:r>
          </w:p>
          <w:p w:rsidR="00241E31" w:rsidP="00241E31" w:rsidRDefault="00241E31" w14:paraId="4C6E8F68" wp14:textId="77777777">
            <w:r>
              <w:t>…</w:t>
            </w:r>
          </w:p>
        </w:tc>
      </w:tr>
      <w:tr xmlns:wp14="http://schemas.microsoft.com/office/word/2010/wordml" w:rsidR="00C81824" w:rsidTr="6E6EA0A6" w14:paraId="6DADC151" wp14:textId="77777777">
        <w:tc>
          <w:tcPr>
            <w:tcW w:w="4315" w:type="dxa"/>
            <w:tcMar/>
          </w:tcPr>
          <w:p w:rsidRPr="00241E31" w:rsidR="00C81824" w:rsidP="00241E31" w:rsidRDefault="00241E31" w14:paraId="0054A290" wp14:textId="77777777">
            <w:pPr>
              <w:rPr>
                <w:b/>
              </w:rPr>
            </w:pPr>
            <w:r w:rsidRPr="00241E31">
              <w:rPr>
                <w:b/>
              </w:rPr>
              <w:t>Bilan</w:t>
            </w:r>
          </w:p>
        </w:tc>
        <w:tc>
          <w:tcPr>
            <w:tcW w:w="4315" w:type="dxa"/>
            <w:tcMar/>
          </w:tcPr>
          <w:p w:rsidR="00C81824" w:rsidP="00241E31" w:rsidRDefault="00241E31" w14:paraId="01F62978" wp14:textId="77777777">
            <w:r>
              <w:t>Comment l’efficacité et la satisfaction seront vérifiées?</w:t>
            </w:r>
          </w:p>
          <w:p w:rsidR="00241E31" w:rsidP="00241E31" w:rsidRDefault="00241E31" w14:paraId="788A82DA" wp14:textId="77777777">
            <w:r>
              <w:t>Quels ajustements seront faits?</w:t>
            </w:r>
          </w:p>
          <w:p w:rsidR="00241E31" w:rsidP="00241E31" w:rsidRDefault="00241E31" w14:paraId="5D2927D8" wp14:textId="77777777">
            <w:r>
              <w:t>…</w:t>
            </w:r>
          </w:p>
        </w:tc>
      </w:tr>
      <w:tr xmlns:wp14="http://schemas.microsoft.com/office/word/2010/wordml" w:rsidR="00241E31" w:rsidTr="6E6EA0A6" w14:paraId="2E36D474" wp14:textId="77777777">
        <w:tc>
          <w:tcPr>
            <w:tcW w:w="8630" w:type="dxa"/>
            <w:gridSpan w:val="2"/>
            <w:tcMar/>
          </w:tcPr>
          <w:p w:rsidRPr="00241E31" w:rsidR="00241E31" w:rsidP="00241E31" w:rsidRDefault="00241E31" w14:paraId="26573562" wp14:textId="77777777">
            <w:pPr>
              <w:rPr>
                <w:b/>
              </w:rPr>
            </w:pPr>
            <w:r w:rsidRPr="00241E31">
              <w:rPr>
                <w:b/>
              </w:rPr>
              <w:t>C</w:t>
            </w:r>
            <w:r w:rsidR="00993A3C">
              <w:rPr>
                <w:b/>
              </w:rPr>
              <w:t>onditions gagnantes</w:t>
            </w:r>
            <w:r w:rsidRPr="00241E31">
              <w:rPr>
                <w:b/>
              </w:rPr>
              <w:t> :</w:t>
            </w:r>
          </w:p>
          <w:p w:rsidR="00241E31" w:rsidP="00241E31" w:rsidRDefault="00241E31" w14:paraId="507D3C46" wp14:textId="77777777">
            <w:r>
              <w:t>La collaboration</w:t>
            </w:r>
          </w:p>
          <w:p w:rsidR="00241E31" w:rsidP="00241E31" w:rsidRDefault="00241E31" w14:paraId="7A8F7BF3" wp14:textId="77777777">
            <w:r>
              <w:t>La communication</w:t>
            </w:r>
          </w:p>
          <w:p w:rsidR="00241E31" w:rsidP="00241E31" w:rsidRDefault="00993A3C" w14:paraId="074A9CC0" wp14:textId="77777777">
            <w:r>
              <w:t>La flexibilité</w:t>
            </w:r>
          </w:p>
          <w:p w:rsidR="00993A3C" w:rsidP="00241E31" w:rsidRDefault="00993A3C" w14:paraId="2D4970C6" wp14:textId="77777777">
            <w:r>
              <w:t>La valorisation</w:t>
            </w:r>
          </w:p>
          <w:p w:rsidR="00993A3C" w:rsidP="00241E31" w:rsidRDefault="00993A3C" w14:paraId="70CD125F" wp14:textId="77777777">
            <w:r>
              <w:t>La complémentarité</w:t>
            </w:r>
            <w:bookmarkStart w:name="_GoBack" w:id="0"/>
            <w:bookmarkEnd w:id="0"/>
          </w:p>
        </w:tc>
      </w:tr>
    </w:tbl>
    <w:p xmlns:wp14="http://schemas.microsoft.com/office/word/2010/wordml" w:rsidR="00993A3C" w:rsidP="00993A3C" w:rsidRDefault="00993A3C" w14:paraId="672A6659" wp14:textId="77777777">
      <w:pPr>
        <w:jc w:val="right"/>
        <w:sectPr w:rsidR="00993A3C" w:rsidSect="00E20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orient="portrait"/>
          <w:pgMar w:top="426" w:right="1800" w:bottom="1440" w:left="1800" w:header="708" w:footer="708" w:gutter="0"/>
          <w:cols w:space="708"/>
          <w:docGrid w:linePitch="360"/>
        </w:sectPr>
      </w:pPr>
    </w:p>
    <w:p xmlns:wp14="http://schemas.microsoft.com/office/word/2010/wordml" w:rsidR="00993A3C" w:rsidP="6E6EA0A6" w:rsidRDefault="00993A3C" w14:paraId="3B5431FA" wp14:textId="0BC0E306">
      <w:pPr>
        <w:pStyle w:val="Normal"/>
        <w:spacing w:after="0" w:line="240" w:lineRule="auto"/>
        <w:jc w:val="right"/>
        <w:textAlignment w:val="baseline"/>
        <w:rPr>
          <w:rFonts w:ascii="Calibri" w:hAnsi="Calibri" w:eastAsia="Times New Roman" w:cs="Calibri"/>
          <w:b w:val="1"/>
          <w:bCs w:val="1"/>
          <w:sz w:val="24"/>
          <w:szCs w:val="24"/>
          <w:lang w:eastAsia="fr-CA"/>
        </w:rPr>
      </w:pPr>
      <w:r w:rsidR="00993A3C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2D1036DA" wp14:anchorId="2FF460A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38250" cy="533400"/>
            <wp:effectExtent l="0" t="0" r="0" b="0"/>
            <wp:wrapNone/>
            <wp:docPr id="19474590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b4326fd81bd46a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238250" cy="5334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A3C">
        <w:rPr>
          <w:rFonts w:ascii="Calibri" w:hAnsi="Calibri" w:eastAsia="Times New Roman" w:cs="Calibri"/>
          <w:b w:val="1"/>
          <w:bCs w:val="1"/>
          <w:sz w:val="24"/>
          <w:szCs w:val="24"/>
          <w:lang w:eastAsia="fr-CA"/>
        </w:rPr>
        <w:t>Annexe 1</w:t>
      </w:r>
    </w:p>
    <w:p xmlns:wp14="http://schemas.microsoft.com/office/word/2010/wordml" w:rsidRPr="007F4F21" w:rsidR="00993A3C" w:rsidP="00993A3C" w:rsidRDefault="00993A3C" w14:paraId="14D13DD5" wp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b/>
          <w:bCs/>
          <w:sz w:val="24"/>
          <w:szCs w:val="24"/>
          <w:lang w:eastAsia="fr-CA"/>
        </w:rPr>
      </w:pPr>
      <w:r w:rsidRPr="007F4F21">
        <w:rPr>
          <w:rFonts w:ascii="Calibri" w:hAnsi="Calibri" w:eastAsia="Times New Roman" w:cs="Calibri"/>
          <w:b/>
          <w:bCs/>
          <w:sz w:val="24"/>
          <w:szCs w:val="24"/>
          <w:lang w:eastAsia="fr-CA"/>
        </w:rPr>
        <w:t xml:space="preserve">L’ensemble des modalités et dispositifs de soutien au développement professionnel offerts à l’enseignant en insertion professionnelle </w:t>
      </w:r>
    </w:p>
    <w:p xmlns:wp14="http://schemas.microsoft.com/office/word/2010/wordml" w:rsidR="00993A3C" w:rsidP="00993A3C" w:rsidRDefault="00993A3C" w14:paraId="0A37501D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0"/>
          <w:szCs w:val="10"/>
          <w:lang w:eastAsia="fr-CA"/>
        </w:rPr>
      </w:pPr>
    </w:p>
    <w:p xmlns:wp14="http://schemas.microsoft.com/office/word/2010/wordml" w:rsidRPr="007F4F21" w:rsidR="00993A3C" w:rsidP="00993A3C" w:rsidRDefault="00993A3C" w14:paraId="1D1A2D12" wp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fr-CA"/>
        </w:rPr>
      </w:pPr>
      <w:r>
        <w:rPr>
          <w:rFonts w:ascii="Calibri" w:hAnsi="Calibri" w:eastAsia="Times New Roman" w:cs="Calibri"/>
          <w:sz w:val="21"/>
          <w:szCs w:val="21"/>
          <w:lang w:eastAsia="fr-CA"/>
        </w:rPr>
        <w:t>C</w:t>
      </w:r>
      <w:r w:rsidRPr="007F4F21">
        <w:rPr>
          <w:rFonts w:ascii="Calibri" w:hAnsi="Calibri" w:eastAsia="Times New Roman" w:cs="Calibri"/>
          <w:sz w:val="21"/>
          <w:szCs w:val="21"/>
          <w:lang w:eastAsia="fr-CA"/>
        </w:rPr>
        <w:t xml:space="preserve">e tableau présente les différentes modalités de soutien que le mentor et d’autres intervenants peuvent offrir, </w:t>
      </w:r>
      <w:r w:rsidRPr="007F4F21">
        <w:rPr>
          <w:rFonts w:ascii="Calibri" w:hAnsi="Calibri" w:eastAsia="Times New Roman" w:cs="Calibri"/>
          <w:b/>
          <w:bCs/>
          <w:sz w:val="21"/>
          <w:szCs w:val="21"/>
          <w:lang w:eastAsia="fr-CA"/>
        </w:rPr>
        <w:t>seul ou en partenariat et en complémentarité.</w:t>
      </w:r>
      <w:r w:rsidRPr="007F4F21">
        <w:rPr>
          <w:rFonts w:ascii="Calibri" w:hAnsi="Calibri" w:eastAsia="Times New Roman" w:cs="Calibri"/>
          <w:sz w:val="21"/>
          <w:szCs w:val="21"/>
          <w:lang w:eastAsia="fr-CA"/>
        </w:rPr>
        <w:t> Ce tableau démontre l’évolution des modalités de soutien et des dispositifs en fonction des besoins des enseignants en IP.</w:t>
      </w:r>
      <w:r w:rsidRPr="007F4F21">
        <w:rPr>
          <w:rFonts w:ascii="Calibri" w:hAnsi="Calibri" w:eastAsia="Times New Roman" w:cs="Calibri"/>
          <w:b/>
          <w:bCs/>
          <w:sz w:val="21"/>
          <w:szCs w:val="21"/>
          <w:lang w:eastAsia="fr-CA"/>
        </w:rPr>
        <w:t xml:space="preserve"> Les acteurs du milieu détermineront l’intervenant qui répondra le mieux aux besoins des enseignants d’IP. </w:t>
      </w:r>
      <w:r w:rsidRPr="007F4F21">
        <w:rPr>
          <w:rFonts w:ascii="Calibri" w:hAnsi="Calibri" w:eastAsia="Times New Roman" w:cs="Calibri"/>
          <w:sz w:val="21"/>
          <w:szCs w:val="21"/>
          <w:lang w:eastAsia="fr-CA"/>
        </w:rPr>
        <w:t xml:space="preserve">Ce choix sera fait en prenant en considération </w:t>
      </w:r>
      <w:r w:rsidRPr="007F4F21">
        <w:rPr>
          <w:rFonts w:ascii="Calibri" w:hAnsi="Calibri" w:eastAsia="Times New Roman" w:cs="Calibri"/>
          <w:b/>
          <w:bCs/>
          <w:sz w:val="21"/>
          <w:szCs w:val="21"/>
          <w:lang w:eastAsia="fr-CA"/>
        </w:rPr>
        <w:t>la connaissance la plus approfondie possible du contexte d’intervention dans lequel se situe l’accompagnement de la personne concernée ainsi que la proximité (présence dans le milieu).  </w:t>
      </w:r>
    </w:p>
    <w:p xmlns:wp14="http://schemas.microsoft.com/office/word/2010/wordml" w:rsidRPr="007F601A" w:rsidR="00993A3C" w:rsidP="00993A3C" w:rsidRDefault="00993A3C" w14:paraId="69B92BEA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fr-CA"/>
        </w:rPr>
      </w:pPr>
      <w:r>
        <w:rPr>
          <w:rFonts w:ascii="Calibri" w:hAnsi="Calibri" w:eastAsia="Times New Roman" w:cs="Calibri"/>
          <w:noProof/>
          <w:sz w:val="18"/>
          <w:szCs w:val="18"/>
          <w:lang w:eastAsia="fr-C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7A0ED34C" wp14:editId="25CD12D5">
                <wp:simplePos x="0" y="0"/>
                <wp:positionH relativeFrom="column">
                  <wp:posOffset>1052423</wp:posOffset>
                </wp:positionH>
                <wp:positionV relativeFrom="paragraph">
                  <wp:posOffset>152783</wp:posOffset>
                </wp:positionV>
                <wp:extent cx="319177" cy="5891842"/>
                <wp:effectExtent l="19050" t="19050" r="43180" b="13970"/>
                <wp:wrapNone/>
                <wp:docPr id="2" name="Flèche vers le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589184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195BEB6">
              <v:shapetype id="_x0000_t68" coordsize="21600,21600" o:spt="68" adj="5400,5400" path="m0@0l@1@0@1,21600@2,21600@2@0,21600@0,10800,xe" w14:anchorId="526BCF8B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Flèche vers le haut 2" style="position:absolute;margin-left:82.85pt;margin-top:12.05pt;width:25.15pt;height:463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black [3200]" strokecolor="black [1600]" strokeweight="1pt" type="#_x0000_t68" adj="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"/>
            </w:pict>
          </mc:Fallback>
        </mc:AlternateContent>
      </w:r>
      <w:r w:rsidRPr="007F601A">
        <w:rPr>
          <w:rFonts w:ascii="Calibri" w:hAnsi="Calibri" w:eastAsia="Times New Roman" w:cs="Calibri"/>
          <w:sz w:val="18"/>
          <w:szCs w:val="18"/>
          <w:lang w:eastAsia="fr-CA"/>
        </w:rPr>
        <w:t> </w:t>
      </w:r>
    </w:p>
    <w:tbl>
      <w:tblPr>
        <w:tblW w:w="1419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1633"/>
      </w:tblGrid>
      <w:tr xmlns:wp14="http://schemas.microsoft.com/office/word/2010/wordml" w:rsidRPr="00FD74F2" w:rsidR="00993A3C" w:rsidTr="00FF38B6" w14:paraId="3AE406BB" wp14:textId="77777777">
        <w:trPr>
          <w:trHeight w:val="283"/>
          <w:jc w:val="center"/>
        </w:trPr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vAlign w:val="center"/>
            <w:hideMark/>
          </w:tcPr>
          <w:p w:rsidRPr="00993A3C" w:rsidR="00993A3C" w:rsidP="00FF38B6" w:rsidRDefault="00993A3C" w14:paraId="6C85BD2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Type de soutien</w:t>
            </w: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vAlign w:val="center"/>
            <w:hideMark/>
          </w:tcPr>
          <w:p w:rsidRPr="00993A3C" w:rsidR="00993A3C" w:rsidP="00FF38B6" w:rsidRDefault="00993A3C" w14:paraId="27D83DB6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Modalités et dispositifs</w:t>
            </w:r>
          </w:p>
        </w:tc>
      </w:tr>
      <w:tr xmlns:wp14="http://schemas.microsoft.com/office/word/2010/wordml" w:rsidRPr="00FD74F2" w:rsidR="00993A3C" w:rsidTr="00FF38B6" w14:paraId="305AADC4" wp14:textId="77777777">
        <w:trPr>
          <w:trHeight w:val="283"/>
          <w:jc w:val="center"/>
        </w:trPr>
        <w:tc>
          <w:tcPr>
            <w:tcW w:w="25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2A21"/>
            <w:vAlign w:val="center"/>
            <w:hideMark/>
          </w:tcPr>
          <w:p w:rsidRPr="00993A3C" w:rsidR="00993A3C" w:rsidP="00FF38B6" w:rsidRDefault="00993A3C" w14:paraId="0EA12042" wp14:textId="77777777">
            <w:pPr>
              <w:spacing w:after="0" w:line="240" w:lineRule="auto"/>
              <w:ind w:left="180" w:right="165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eastAsia="fr-CA"/>
              </w:rPr>
              <w:t>Pour répondre aux besoins spécifiques de certains enseignants en IP</w:t>
            </w:r>
            <w:r w:rsidRPr="00993A3C">
              <w:rPr>
                <w:rFonts w:ascii="Calibri" w:hAnsi="Calibri" w:eastAsia="Times New Roman" w:cs="Calibri"/>
                <w:color w:val="FFFFFF"/>
                <w:sz w:val="16"/>
                <w:szCs w:val="16"/>
                <w:lang w:eastAsia="fr-CA"/>
              </w:rPr>
              <w:t> 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2A21"/>
            <w:vAlign w:val="center"/>
            <w:hideMark/>
          </w:tcPr>
          <w:p w:rsidRPr="00993A3C" w:rsidR="00993A3C" w:rsidP="00FF38B6" w:rsidRDefault="00993A3C" w14:paraId="5DAB6C7B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</w:tr>
      <w:tr xmlns:wp14="http://schemas.microsoft.com/office/word/2010/wordml" w:rsidRPr="00FD74F2" w:rsidR="00993A3C" w:rsidTr="00FF38B6" w14:paraId="68A33853" wp14:textId="77777777">
        <w:trPr>
          <w:trHeight w:val="315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0AC40046" wp14:textId="777777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5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Consultation individuelle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 (p. 175)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vertAlign w:val="superscript"/>
                <w:lang w:eastAsia="fr-CA"/>
              </w:rPr>
              <w:t>1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 : soutien formel d’amélioration de pratiques lié à la clientèle particulière ou un contexte particulier  </w:t>
            </w:r>
          </w:p>
        </w:tc>
      </w:tr>
      <w:tr xmlns:wp14="http://schemas.microsoft.com/office/word/2010/wordml" w:rsidRPr="00FD74F2" w:rsidR="00993A3C" w:rsidTr="00FF38B6" w14:paraId="1EF36E0B" wp14:textId="77777777">
        <w:trPr>
          <w:trHeight w:val="180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162E6518" wp14:textId="77777777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27"/>
              </w:tabs>
              <w:spacing w:after="0" w:line="240" w:lineRule="auto"/>
              <w:ind w:left="455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 xml:space="preserve">Accompagnement individuel avec objectifs spécifiques : 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observation/rétroaction/modelage </w:t>
            </w:r>
          </w:p>
        </w:tc>
      </w:tr>
      <w:tr xmlns:wp14="http://schemas.microsoft.com/office/word/2010/wordml" w:rsidRPr="00FD74F2" w:rsidR="00993A3C" w:rsidTr="00FF38B6" w14:paraId="53DC0517" wp14:textId="77777777">
        <w:trPr>
          <w:trHeight w:val="120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4E4CB3AA" wp14:textId="777777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5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Plan de développement d’une compétence professionnelle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 </w:t>
            </w:r>
          </w:p>
        </w:tc>
      </w:tr>
      <w:tr xmlns:wp14="http://schemas.microsoft.com/office/word/2010/wordml" w:rsidRPr="00FD74F2" w:rsidR="00993A3C" w:rsidTr="00FF38B6" w14:paraId="0F07507C" wp14:textId="77777777">
        <w:trPr>
          <w:trHeight w:val="45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63027FB2" wp14:textId="777777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5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Soutien à l’analyse et à l’autorégulation de sa pratique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 xml:space="preserve"> : visite dans la classe d’un pair; observation, </w:t>
            </w:r>
            <w:proofErr w:type="spellStart"/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vidéoscopie</w:t>
            </w:r>
            <w:proofErr w:type="spellEnd"/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 </w:t>
            </w:r>
          </w:p>
        </w:tc>
      </w:tr>
      <w:tr xmlns:wp14="http://schemas.microsoft.com/office/word/2010/wordml" w:rsidRPr="00FD74F2" w:rsidR="00993A3C" w:rsidTr="00FF38B6" w14:paraId="18C19574" wp14:textId="77777777">
        <w:trPr>
          <w:trHeight w:val="283"/>
          <w:jc w:val="center"/>
        </w:trPr>
        <w:tc>
          <w:tcPr>
            <w:tcW w:w="25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538135" w:themeFill="accent6" w:themeFillShade="BF"/>
            <w:vAlign w:val="center"/>
            <w:hideMark/>
          </w:tcPr>
          <w:p w:rsidRPr="00993A3C" w:rsidR="00993A3C" w:rsidP="00FF38B6" w:rsidRDefault="00993A3C" w14:paraId="6E7BEAA2" wp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color w:val="FFFFFF"/>
                <w:sz w:val="16"/>
                <w:szCs w:val="16"/>
                <w:lang w:eastAsia="fr-CA"/>
              </w:rPr>
              <w:t> </w:t>
            </w:r>
          </w:p>
          <w:p w:rsidRPr="00993A3C" w:rsidR="00993A3C" w:rsidP="00FF38B6" w:rsidRDefault="00993A3C" w14:paraId="611E3AE5" wp14:textId="77777777">
            <w:pPr>
              <w:spacing w:after="0" w:line="240" w:lineRule="auto"/>
              <w:ind w:left="153" w:right="165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eastAsia="fr-CA"/>
              </w:rPr>
              <w:t>Pour répondre aux besoins des enseignants en IP en fonction de son profil et des enjeux liés au milieu de travail ou à la clientèle</w:t>
            </w:r>
            <w:r w:rsidRPr="00993A3C">
              <w:rPr>
                <w:rFonts w:ascii="Calibri" w:hAnsi="Calibri" w:eastAsia="Times New Roman" w:cs="Calibri"/>
                <w:color w:val="FFFF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538135" w:themeFill="accent6" w:themeFillShade="BF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FF38B6" w:rsidRDefault="00993A3C" w14:paraId="72A3D3EC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</w:tr>
      <w:tr xmlns:wp14="http://schemas.microsoft.com/office/word/2010/wordml" w:rsidRPr="00FD74F2" w:rsidR="00993A3C" w:rsidTr="00FF38B6" w14:paraId="333522C5" wp14:textId="77777777">
        <w:trPr>
          <w:trHeight w:val="75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24987CF4" wp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Accompagnement en sous-groupe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 xml:space="preserve"> pour des besoins plus spécifiques ou approfondissement  </w:t>
            </w:r>
          </w:p>
        </w:tc>
      </w:tr>
      <w:tr xmlns:wp14="http://schemas.microsoft.com/office/word/2010/wordml" w:rsidRPr="00FD74F2" w:rsidR="00993A3C" w:rsidTr="00FF38B6" w14:paraId="2269CC34" wp14:textId="77777777">
        <w:trPr>
          <w:trHeight w:val="75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4DBF6015" wp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Programmes de formation offert en milieu de pratique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 </w:t>
            </w: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 xml:space="preserve">: 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formule d’enseignement/apprentissage actif (p. 140) </w:t>
            </w:r>
          </w:p>
        </w:tc>
      </w:tr>
      <w:tr xmlns:wp14="http://schemas.microsoft.com/office/word/2010/wordml" w:rsidRPr="00FD74F2" w:rsidR="00993A3C" w:rsidTr="00FF38B6" w14:paraId="5DEEACFA" wp14:textId="77777777">
        <w:trPr>
          <w:trHeight w:val="225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06CC15AF" wp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Formations ponctuelles 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(p. 138) : hybrides, asynchrones, synchrones et en présentiel  </w:t>
            </w:r>
          </w:p>
        </w:tc>
      </w:tr>
      <w:tr xmlns:wp14="http://schemas.microsoft.com/office/word/2010/wordml" w:rsidRPr="00FD74F2" w:rsidR="00993A3C" w:rsidTr="00FF38B6" w14:paraId="2F1C31A9" wp14:textId="77777777">
        <w:trPr>
          <w:trHeight w:val="225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0798A71E" wp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 xml:space="preserve">Formation universitaire créditée 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: visant le développement professionnel ou la qualification (p. 143) </w:t>
            </w:r>
          </w:p>
        </w:tc>
      </w:tr>
      <w:tr xmlns:wp14="http://schemas.microsoft.com/office/word/2010/wordml" w:rsidRPr="00FD74F2" w:rsidR="00993A3C" w:rsidTr="00FF38B6" w14:paraId="7F897EC2" wp14:textId="77777777">
        <w:trPr>
          <w:trHeight w:val="225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2EC4F6BA" wp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Modalités mixtes (p. 183) / formation accompagnée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: séances de formation et d’accompagnement pour favoriser l’appropriation et le transfert des connaissances </w:t>
            </w:r>
          </w:p>
        </w:tc>
      </w:tr>
      <w:tr xmlns:wp14="http://schemas.microsoft.com/office/word/2010/wordml" w:rsidRPr="00FD74F2" w:rsidR="00993A3C" w:rsidTr="00FF38B6" w14:paraId="15EF120E" wp14:textId="77777777">
        <w:trPr>
          <w:trHeight w:val="75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37AA384E" wp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fr-CA"/>
              </w:rPr>
              <w:t>Consultation multidisciplinaire et équipes de soutien à l’enseignant</w:t>
            </w:r>
            <w:r w:rsidRPr="00993A3C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fr-CA"/>
              </w:rPr>
              <w:t xml:space="preserve"> (p. 180) </w:t>
            </w:r>
          </w:p>
        </w:tc>
      </w:tr>
      <w:tr xmlns:wp14="http://schemas.microsoft.com/office/word/2010/wordml" w:rsidRPr="00FD74F2" w:rsidR="00993A3C" w:rsidTr="00FF38B6" w14:paraId="38AB43B2" wp14:textId="77777777">
        <w:trPr>
          <w:trHeight w:val="120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3656B9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0102B6BF" wp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fr-CA"/>
              </w:rPr>
              <w:t>Soutien lié aux enjeux du milieu de travail ou à la clientèle-</w:t>
            </w: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 xml:space="preserve"> école soutenue</w:t>
            </w:r>
            <w:r w:rsidRPr="00993A3C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eastAsia="fr-CA"/>
              </w:rPr>
              <w:t xml:space="preserve"> : 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IMSÉ école, % élevé de nouveaux enseignants, AS, NLQ, etc. </w:t>
            </w:r>
          </w:p>
        </w:tc>
      </w:tr>
      <w:tr xmlns:wp14="http://schemas.microsoft.com/office/word/2010/wordml" w:rsidRPr="00FD74F2" w:rsidR="00993A3C" w:rsidTr="00FF38B6" w14:paraId="4565CFBA" wp14:textId="77777777">
        <w:trPr>
          <w:trHeight w:val="120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5AE1BE4C" wp14:textId="777777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Activités de groupe occasionnelles sur une thématique particulière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 xml:space="preserve"> : diner causerie, groupe d’échanges, </w:t>
            </w:r>
            <w:proofErr w:type="spellStart"/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CoP</w:t>
            </w:r>
            <w:proofErr w:type="spellEnd"/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 </w:t>
            </w:r>
          </w:p>
        </w:tc>
      </w:tr>
      <w:tr xmlns:wp14="http://schemas.microsoft.com/office/word/2010/wordml" w:rsidRPr="00FD74F2" w:rsidR="00993A3C" w:rsidTr="00FF38B6" w14:paraId="04CB003E" wp14:textId="77777777">
        <w:trPr>
          <w:trHeight w:val="283"/>
          <w:jc w:val="center"/>
        </w:trPr>
        <w:tc>
          <w:tcPr>
            <w:tcW w:w="25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F5496" w:themeFill="accent5" w:themeFillShade="BF"/>
            <w:vAlign w:val="center"/>
            <w:hideMark/>
          </w:tcPr>
          <w:p w:rsidRPr="00993A3C" w:rsidR="00993A3C" w:rsidP="00FF38B6" w:rsidRDefault="00993A3C" w14:paraId="382C01A2" wp14:textId="77777777">
            <w:pPr>
              <w:spacing w:after="0" w:line="240" w:lineRule="auto"/>
              <w:ind w:left="180" w:right="165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eastAsia="fr-CA"/>
              </w:rPr>
              <w:t>Pour répondre aux besoins universels de tous les enseignants débutants</w:t>
            </w:r>
            <w:r w:rsidRPr="00993A3C">
              <w:rPr>
                <w:rFonts w:ascii="Calibri" w:hAnsi="Calibri" w:eastAsia="Times New Roman" w:cs="Calibri"/>
                <w:color w:val="FFFFFF"/>
                <w:sz w:val="16"/>
                <w:szCs w:val="16"/>
                <w:lang w:eastAsia="fr-CA"/>
              </w:rPr>
              <w:t> </w:t>
            </w:r>
          </w:p>
          <w:p w:rsidRPr="00993A3C" w:rsidR="00993A3C" w:rsidP="00FF38B6" w:rsidRDefault="00993A3C" w14:paraId="63E4A9CD" wp14:textId="77777777">
            <w:pPr>
              <w:spacing w:after="0" w:line="240" w:lineRule="auto"/>
              <w:ind w:left="180" w:right="165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color w:val="FFFFFF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F5496" w:themeFill="accent5" w:themeFillShade="BF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FF38B6" w:rsidRDefault="00993A3C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 </w:t>
            </w:r>
          </w:p>
        </w:tc>
      </w:tr>
      <w:tr xmlns:wp14="http://schemas.microsoft.com/office/word/2010/wordml" w:rsidRPr="00FD74F2" w:rsidR="00993A3C" w:rsidTr="00FF38B6" w14:paraId="1438EC5F" wp14:textId="77777777">
        <w:trPr>
          <w:trHeight w:val="75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63053EAD" wp14:textId="777777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Procédure d’accueil CSS et soutien pour assurer un suivi de son dossier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 : qualification, permanence, etc. </w:t>
            </w:r>
          </w:p>
        </w:tc>
      </w:tr>
      <w:tr xmlns:wp14="http://schemas.microsoft.com/office/word/2010/wordml" w:rsidRPr="00FD74F2" w:rsidR="00993A3C" w:rsidTr="00FF38B6" w14:paraId="26F0E5BA" wp14:textId="77777777">
        <w:trPr>
          <w:trHeight w:val="75"/>
          <w:jc w:val="center"/>
        </w:trPr>
        <w:tc>
          <w:tcPr>
            <w:tcW w:w="2558" w:type="dxa"/>
            <w:vMerge/>
            <w:vAlign w:val="center"/>
          </w:tcPr>
          <w:p w:rsidRPr="00993A3C" w:rsidR="00993A3C" w:rsidP="00FF38B6" w:rsidRDefault="00993A3C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</w:tcPr>
          <w:p w:rsidRPr="00993A3C" w:rsidR="00993A3C" w:rsidP="00993A3C" w:rsidRDefault="00993A3C" w14:paraId="3895443F" wp14:textId="777777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Procédure d’accueil dans l’établissement</w:t>
            </w:r>
          </w:p>
        </w:tc>
      </w:tr>
      <w:tr xmlns:wp14="http://schemas.microsoft.com/office/word/2010/wordml" w:rsidRPr="00FD74F2" w:rsidR="00993A3C" w:rsidTr="00FF38B6" w14:paraId="4C80320C" wp14:textId="77777777">
        <w:trPr>
          <w:trHeight w:val="390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73BE26B1" wp14:textId="777777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 xml:space="preserve">Soutien à l’élaboration de son plan de DP : 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activité d’accueil, présentation du programme local d’IP et ligne du temps </w:t>
            </w:r>
          </w:p>
        </w:tc>
      </w:tr>
      <w:tr xmlns:wp14="http://schemas.microsoft.com/office/word/2010/wordml" w:rsidRPr="00FD74F2" w:rsidR="00993A3C" w:rsidTr="00FF38B6" w14:paraId="44D992CE" wp14:textId="77777777">
        <w:trPr>
          <w:trHeight w:val="60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7E43B0F3" wp14:textId="777777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Processus de régulation du ou des dispositifs mis en place</w:t>
            </w:r>
          </w:p>
        </w:tc>
      </w:tr>
      <w:tr xmlns:wp14="http://schemas.microsoft.com/office/word/2010/wordml" w:rsidRPr="00FD74F2" w:rsidR="00993A3C" w:rsidTr="00FF38B6" w14:paraId="00F521A7" wp14:textId="77777777">
        <w:trPr>
          <w:trHeight w:val="60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54C85552" wp14:textId="777777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Activités de groupe ponctuelles ou régulières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 xml:space="preserve"> : diner causerie, groupe d’échanges, </w:t>
            </w:r>
            <w:proofErr w:type="spellStart"/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CoP</w:t>
            </w:r>
            <w:proofErr w:type="spellEnd"/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 </w:t>
            </w:r>
          </w:p>
        </w:tc>
      </w:tr>
      <w:tr xmlns:wp14="http://schemas.microsoft.com/office/word/2010/wordml" w:rsidRPr="00FD74F2" w:rsidR="00993A3C" w:rsidTr="00FF38B6" w14:paraId="5E92EBB3" wp14:textId="77777777">
        <w:trPr>
          <w:trHeight w:val="60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112D9147" wp14:textId="777777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>Groupe structuré d’échange de pratiques incluant un suivi de la progression des élèves (CAP)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 </w:t>
            </w:r>
          </w:p>
        </w:tc>
      </w:tr>
      <w:tr xmlns:wp14="http://schemas.microsoft.com/office/word/2010/wordml" w:rsidRPr="00FD74F2" w:rsidR="00993A3C" w:rsidTr="00FF38B6" w14:paraId="2E06EF9F" wp14:textId="77777777">
        <w:trPr>
          <w:trHeight w:val="375"/>
          <w:jc w:val="center"/>
        </w:trPr>
        <w:tc>
          <w:tcPr>
            <w:tcW w:w="2558" w:type="dxa"/>
            <w:vMerge/>
            <w:vAlign w:val="center"/>
            <w:hideMark/>
          </w:tcPr>
          <w:p w:rsidRPr="00993A3C" w:rsidR="00993A3C" w:rsidP="00FF38B6" w:rsidRDefault="00993A3C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993A3C" w:rsidR="00993A3C" w:rsidP="00993A3C" w:rsidRDefault="00993A3C" w14:paraId="5C782410" wp14:textId="7777777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</w:pPr>
            <w:r w:rsidRPr="00993A3C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fr-CA"/>
              </w:rPr>
              <w:t xml:space="preserve">Consultation brève offerte au quotidien </w:t>
            </w:r>
            <w:r w:rsidRPr="00993A3C">
              <w:rPr>
                <w:rFonts w:ascii="Calibri" w:hAnsi="Calibri" w:eastAsia="Times New Roman" w:cs="Calibri"/>
                <w:sz w:val="16"/>
                <w:szCs w:val="16"/>
                <w:lang w:eastAsia="fr-CA"/>
              </w:rPr>
              <w:t>(p. 173) : accueil, réponse aux questions, références à des ressources  </w:t>
            </w:r>
          </w:p>
        </w:tc>
      </w:tr>
    </w:tbl>
    <w:p xmlns:wp14="http://schemas.microsoft.com/office/word/2010/wordml" w:rsidRPr="007F601A" w:rsidR="00993A3C" w:rsidP="00993A3C" w:rsidRDefault="00993A3C" w14:paraId="76676946" wp14:textId="77777777">
      <w:pPr>
        <w:spacing w:after="0" w:line="240" w:lineRule="auto"/>
        <w:ind w:left="1416" w:firstLine="708"/>
        <w:textAlignment w:val="baseline"/>
        <w:rPr>
          <w:rFonts w:ascii="Calibri" w:hAnsi="Calibri" w:eastAsia="Times New Roman" w:cs="Calibri"/>
          <w:sz w:val="16"/>
          <w:szCs w:val="16"/>
          <w:lang w:eastAsia="fr-CA"/>
        </w:rPr>
      </w:pPr>
      <w:r w:rsidRPr="007F601A">
        <w:rPr>
          <w:rFonts w:ascii="Calibri" w:hAnsi="Calibri" w:eastAsia="Times New Roman" w:cs="Calibri"/>
          <w:b/>
          <w:bCs/>
          <w:sz w:val="16"/>
          <w:szCs w:val="16"/>
          <w:lang w:eastAsia="fr-CA"/>
        </w:rPr>
        <w:t>1.</w:t>
      </w:r>
      <w:r w:rsidRPr="007F601A">
        <w:rPr>
          <w:rFonts w:ascii="Calibri" w:hAnsi="Calibri" w:eastAsia="Times New Roman" w:cs="Calibri"/>
          <w:sz w:val="16"/>
          <w:szCs w:val="16"/>
          <w:lang w:eastAsia="fr-CA"/>
        </w:rPr>
        <w:t xml:space="preserve"> </w:t>
      </w:r>
      <w:proofErr w:type="spellStart"/>
      <w:proofErr w:type="gramStart"/>
      <w:r w:rsidRPr="007F601A">
        <w:rPr>
          <w:rFonts w:ascii="Calibri" w:hAnsi="Calibri" w:eastAsia="Times New Roman" w:cs="Calibri"/>
          <w:sz w:val="16"/>
          <w:szCs w:val="16"/>
          <w:lang w:eastAsia="fr-CA"/>
        </w:rPr>
        <w:t>Gaudreau,N</w:t>
      </w:r>
      <w:proofErr w:type="spellEnd"/>
      <w:r w:rsidRPr="007F601A">
        <w:rPr>
          <w:rFonts w:ascii="Calibri" w:hAnsi="Calibri" w:eastAsia="Times New Roman" w:cs="Calibri"/>
          <w:sz w:val="16"/>
          <w:szCs w:val="16"/>
          <w:lang w:eastAsia="fr-CA"/>
        </w:rPr>
        <w:t>.</w:t>
      </w:r>
      <w:proofErr w:type="gramEnd"/>
      <w:r w:rsidRPr="007F601A">
        <w:rPr>
          <w:rFonts w:ascii="Calibri" w:hAnsi="Calibri" w:eastAsia="Times New Roman" w:cs="Calibri"/>
          <w:sz w:val="16"/>
          <w:szCs w:val="16"/>
          <w:lang w:eastAsia="fr-CA"/>
        </w:rPr>
        <w:t xml:space="preserve"> (2021) </w:t>
      </w:r>
      <w:r w:rsidRPr="007F601A">
        <w:rPr>
          <w:rFonts w:ascii="Calibri" w:hAnsi="Calibri" w:eastAsia="Times New Roman" w:cs="Calibri"/>
          <w:i/>
          <w:iCs/>
          <w:sz w:val="16"/>
          <w:szCs w:val="16"/>
          <w:lang w:eastAsia="fr-CA"/>
        </w:rPr>
        <w:t>Le développement professionnel en milieu éducatif : des pratiques favorisant la réussite et le bien-être de l’enseignant</w:t>
      </w:r>
      <w:r w:rsidRPr="007F601A">
        <w:rPr>
          <w:rFonts w:ascii="Calibri" w:hAnsi="Calibri" w:eastAsia="Times New Roman" w:cs="Calibri"/>
          <w:sz w:val="16"/>
          <w:szCs w:val="16"/>
          <w:lang w:eastAsia="fr-CA"/>
        </w:rPr>
        <w:t>.</w:t>
      </w:r>
    </w:p>
    <w:sectPr w:rsidRPr="007F601A" w:rsidR="00993A3C" w:rsidSect="00536524">
      <w:pgSz w:w="20160" w:h="12240" w:orient="landscape"/>
      <w:pgMar w:top="426" w:right="720" w:bottom="26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D6A1D" w:rsidP="00993A3C" w:rsidRDefault="00ED6A1D" w14:paraId="1FC3994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D6A1D" w:rsidP="00993A3C" w:rsidRDefault="00ED6A1D" w14:paraId="0562CB0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93A3C" w:rsidRDefault="00993A3C" w14:paraId="2946DB82" wp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93A3C" w:rsidRDefault="00993A3C" w14:paraId="34CE0A41" wp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93A3C" w:rsidRDefault="00993A3C" w14:paraId="3CF2D8B6" wp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D6A1D" w:rsidP="00993A3C" w:rsidRDefault="00ED6A1D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D6A1D" w:rsidP="00993A3C" w:rsidRDefault="00ED6A1D" w14:paraId="6D98A12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93A3C" w:rsidRDefault="00993A3C" w14:paraId="3461D779" wp14:textId="77777777">
    <w:pPr>
      <w:pStyle w:val="En-tte"/>
    </w:pPr>
    <w:r>
      <w:rPr>
        <w:noProof/>
      </w:rPr>
      <w:pict w14:anchorId="30E43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7063" style="position:absolute;margin-left:0;margin-top:0;width:512.85pt;height:96.15pt;rotation:315;z-index:-251655168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document de trav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93A3C" w:rsidRDefault="00993A3C" w14:paraId="5997CC1D" wp14:textId="77777777">
    <w:pPr>
      <w:pStyle w:val="En-tte"/>
    </w:pPr>
    <w:r>
      <w:rPr>
        <w:noProof/>
      </w:rPr>
      <w:pict w14:anchorId="5ED1F2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7064" style="position:absolute;margin-left:0;margin-top:0;width:512.85pt;height:96.15pt;rotation:315;z-index:-251653120;mso-position-horizontal:center;mso-position-horizontal-relative:margin;mso-position-vertical:center;mso-position-vertical-relative:margin" o:spid="_x0000_s2052" o:allowincell="f" fillcolor="silver" stroked="f" type="#_x0000_t136">
          <v:fill opacity=".5"/>
          <v:textpath style="font-family:&quot;Calibri&quot;;font-size:1pt" string="document de travai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93A3C" w:rsidRDefault="00993A3C" w14:paraId="0FB78278" wp14:textId="77777777">
    <w:pPr>
      <w:pStyle w:val="En-tte"/>
    </w:pPr>
    <w:r>
      <w:rPr>
        <w:noProof/>
      </w:rPr>
      <w:pict w14:anchorId="0B995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7062" style="position:absolute;margin-left:0;margin-top:0;width:512.85pt;height:96.15pt;rotation:315;z-index:-251657216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document de travai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DA9"/>
    <w:multiLevelType w:val="hybridMultilevel"/>
    <w:tmpl w:val="0A36FAF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E58"/>
    <w:multiLevelType w:val="hybridMultilevel"/>
    <w:tmpl w:val="A55AEC2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5AC4"/>
    <w:multiLevelType w:val="hybridMultilevel"/>
    <w:tmpl w:val="BDE4524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4"/>
    <w:rsid w:val="00241E31"/>
    <w:rsid w:val="00375576"/>
    <w:rsid w:val="00993A3C"/>
    <w:rsid w:val="00C81824"/>
    <w:rsid w:val="00CE6C60"/>
    <w:rsid w:val="00E204A8"/>
    <w:rsid w:val="00ED6A1D"/>
    <w:rsid w:val="00FE5957"/>
    <w:rsid w:val="115CD5E6"/>
    <w:rsid w:val="2FDC1242"/>
    <w:rsid w:val="3C86E3C8"/>
    <w:rsid w:val="57E14DD2"/>
    <w:rsid w:val="57EC8EDA"/>
    <w:rsid w:val="6E6EA0A6"/>
    <w:rsid w:val="78EE9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893387E"/>
  <w15:chartTrackingRefBased/>
  <w15:docId w15:val="{061F63BB-5C80-4766-BF18-ACD97EC548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18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rsid w:val="00993A3C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93A3C"/>
  </w:style>
  <w:style w:type="paragraph" w:styleId="Pieddepage">
    <w:name w:val="footer"/>
    <w:basedOn w:val="Normal"/>
    <w:link w:val="PieddepageCar"/>
    <w:uiPriority w:val="99"/>
    <w:unhideWhenUsed/>
    <w:rsid w:val="00993A3C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93A3C"/>
  </w:style>
  <w:style w:type="paragraph" w:styleId="Paragraphedeliste">
    <w:name w:val="List Paragraph"/>
    <w:basedOn w:val="Normal"/>
    <w:uiPriority w:val="34"/>
    <w:qFormat/>
    <w:rsid w:val="0099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image" Target="/media/image4.png" Id="Rfd17eeef55f8474e" /><Relationship Type="http://schemas.openxmlformats.org/officeDocument/2006/relationships/image" Target="/media/image5.png" Id="Reb4326fd81bd46a0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4E43B6A2ED41967D4E6393BEB661" ma:contentTypeVersion="15" ma:contentTypeDescription="Crée un document." ma:contentTypeScope="" ma:versionID="70ba64c253e346ed0672fe3490a7096b">
  <xsd:schema xmlns:xsd="http://www.w3.org/2001/XMLSchema" xmlns:xs="http://www.w3.org/2001/XMLSchema" xmlns:p="http://schemas.microsoft.com/office/2006/metadata/properties" xmlns:ns2="733d7b82-f9d2-4c2b-8562-ad9fc8055677" xmlns:ns3="804510af-767f-4dad-bca3-208ebf5e2e20" targetNamespace="http://schemas.microsoft.com/office/2006/metadata/properties" ma:root="true" ma:fieldsID="78e98fcae6f025ccc8ca2064fb19d8dc" ns2:_="" ns3:_="">
    <xsd:import namespace="733d7b82-f9d2-4c2b-8562-ad9fc8055677"/>
    <xsd:import namespace="804510af-767f-4dad-bca3-208ebf5e2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7b82-f9d2-4c2b-8562-ad9fc8055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eb66732-8058-4b56-aa5f-a99ed9a626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510af-767f-4dad-bca3-208ebf5e2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8cacdf-d2e5-4a48-ab1a-c55751109e95}" ma:internalName="TaxCatchAll" ma:showField="CatchAllData" ma:web="804510af-767f-4dad-bca3-208ebf5e2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4510af-767f-4dad-bca3-208ebf5e2e20" xsi:nil="true"/>
    <lcf76f155ced4ddcb4097134ff3c332f xmlns="733d7b82-f9d2-4c2b-8562-ad9fc80556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002759-D6F4-4BC2-9AB5-F4D6913C622E}"/>
</file>

<file path=customXml/itemProps2.xml><?xml version="1.0" encoding="utf-8"?>
<ds:datastoreItem xmlns:ds="http://schemas.openxmlformats.org/officeDocument/2006/customXml" ds:itemID="{71405131-B8E2-47BD-AD57-1F3C594DDAD6}"/>
</file>

<file path=customXml/itemProps3.xml><?xml version="1.0" encoding="utf-8"?>
<ds:datastoreItem xmlns:ds="http://schemas.openxmlformats.org/officeDocument/2006/customXml" ds:itemID="{3A1BA255-795D-4123-899A-838B194FCA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Commission scolaire de Laval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Liliane Arsenault</dc:creator>
  <keywords/>
  <dc:description/>
  <lastModifiedBy>Liliane Arsenault</lastModifiedBy>
  <revision>4</revision>
  <dcterms:created xsi:type="dcterms:W3CDTF">2022-05-03T11:43:00.0000000Z</dcterms:created>
  <dcterms:modified xsi:type="dcterms:W3CDTF">2022-10-19T19:04:38.8356708Z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0x01010006254E43B6A2ED41967D4E6393BEB661</vt:lpwstr>
  </property>
  <property fmtid="{D5CDD505-2E9C-101B-9397-08002B2CF9AE}" pid="3" name="MediaServiceImageTags">
    <vt:lpwstr/>
  </property>
</Properties>
</file>